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651E9" w14:textId="77777777" w:rsidR="006E645A" w:rsidRPr="00447446" w:rsidRDefault="006E645A" w:rsidP="00F7786C">
      <w:pPr>
        <w:jc w:val="center"/>
      </w:pPr>
    </w:p>
    <w:p w14:paraId="71511B14" w14:textId="77777777" w:rsidR="006E645A" w:rsidRPr="00447446" w:rsidRDefault="006E645A" w:rsidP="00F7786C">
      <w:pPr>
        <w:jc w:val="center"/>
      </w:pPr>
    </w:p>
    <w:p w14:paraId="4F88BA63" w14:textId="77777777" w:rsidR="006E645A" w:rsidRPr="00447446" w:rsidRDefault="006E645A" w:rsidP="00F7786C">
      <w:pPr>
        <w:jc w:val="center"/>
      </w:pPr>
    </w:p>
    <w:p w14:paraId="4B634600" w14:textId="77777777" w:rsidR="006E645A" w:rsidRPr="00447446" w:rsidRDefault="006E645A" w:rsidP="00F7786C">
      <w:pPr>
        <w:jc w:val="center"/>
      </w:pPr>
    </w:p>
    <w:p w14:paraId="3A814644" w14:textId="77777777" w:rsidR="006E645A" w:rsidRPr="00447446" w:rsidRDefault="006E645A" w:rsidP="00F7786C">
      <w:pPr>
        <w:jc w:val="center"/>
      </w:pPr>
    </w:p>
    <w:p w14:paraId="0C71777F" w14:textId="77777777" w:rsidR="006E645A" w:rsidRPr="00447446" w:rsidRDefault="006E645A" w:rsidP="00F7786C">
      <w:pPr>
        <w:jc w:val="center"/>
      </w:pPr>
    </w:p>
    <w:p w14:paraId="7801FFFA" w14:textId="77777777" w:rsidR="006E645A" w:rsidRPr="00447446" w:rsidRDefault="006E645A" w:rsidP="00F7786C">
      <w:pPr>
        <w:jc w:val="center"/>
      </w:pPr>
    </w:p>
    <w:p w14:paraId="7FC6068A" w14:textId="77777777" w:rsidR="006E645A" w:rsidRPr="003739BB" w:rsidRDefault="006E645A" w:rsidP="00F7786C">
      <w:pPr>
        <w:jc w:val="center"/>
      </w:pPr>
    </w:p>
    <w:p w14:paraId="5BEEFE58" w14:textId="77777777" w:rsidR="00E86AAD" w:rsidRDefault="00E86AAD" w:rsidP="00E86AAD">
      <w:pPr>
        <w:jc w:val="center"/>
      </w:pPr>
      <w:r>
        <w:t>Chapter 10 Questions</w:t>
      </w:r>
    </w:p>
    <w:p w14:paraId="728EBDF5" w14:textId="40616838" w:rsidR="006E645A" w:rsidRPr="009F53D9" w:rsidRDefault="004F430B" w:rsidP="00F7786C">
      <w:pPr>
        <w:jc w:val="center"/>
      </w:pPr>
      <w:r w:rsidRPr="009F53D9">
        <w:t>Name</w:t>
      </w:r>
    </w:p>
    <w:p w14:paraId="691A42D5" w14:textId="77777777" w:rsidR="006E645A" w:rsidRPr="009F53D9" w:rsidRDefault="004F430B" w:rsidP="00F7786C">
      <w:pPr>
        <w:jc w:val="center"/>
      </w:pPr>
      <w:r w:rsidRPr="009F53D9">
        <w:t>Institution</w:t>
      </w:r>
    </w:p>
    <w:p w14:paraId="2F82D5B3" w14:textId="77777777" w:rsidR="00F51FB9" w:rsidRDefault="004F430B" w:rsidP="00F7786C">
      <w:pPr>
        <w:jc w:val="center"/>
      </w:pPr>
      <w:r w:rsidRPr="009F53D9">
        <w:t>Date</w:t>
      </w:r>
    </w:p>
    <w:p w14:paraId="494CF238" w14:textId="77777777" w:rsidR="00B20C0E" w:rsidRDefault="00B20C0E" w:rsidP="00F7786C">
      <w:pPr>
        <w:jc w:val="center"/>
      </w:pPr>
    </w:p>
    <w:p w14:paraId="27F51F0B" w14:textId="77777777" w:rsidR="00B20C0E" w:rsidRDefault="00B20C0E" w:rsidP="00F7786C">
      <w:pPr>
        <w:jc w:val="center"/>
      </w:pPr>
    </w:p>
    <w:p w14:paraId="01B4B487" w14:textId="77777777" w:rsidR="00B20C0E" w:rsidRDefault="00B20C0E" w:rsidP="00F7786C">
      <w:pPr>
        <w:jc w:val="center"/>
      </w:pPr>
    </w:p>
    <w:p w14:paraId="0C7E561E" w14:textId="77777777" w:rsidR="00B20C0E" w:rsidRDefault="00B20C0E" w:rsidP="00F7786C">
      <w:pPr>
        <w:jc w:val="center"/>
      </w:pPr>
    </w:p>
    <w:p w14:paraId="65BA83C8" w14:textId="77777777" w:rsidR="00B20C0E" w:rsidRDefault="00B20C0E" w:rsidP="00F7786C">
      <w:pPr>
        <w:jc w:val="center"/>
      </w:pPr>
    </w:p>
    <w:p w14:paraId="3F5E7A0C" w14:textId="77777777" w:rsidR="00B20C0E" w:rsidRDefault="00B20C0E" w:rsidP="00F7786C">
      <w:pPr>
        <w:jc w:val="center"/>
      </w:pPr>
    </w:p>
    <w:p w14:paraId="267CE638" w14:textId="392A2CE5" w:rsidR="00B20C0E" w:rsidRDefault="00B20C0E" w:rsidP="00F7786C">
      <w:pPr>
        <w:jc w:val="center"/>
      </w:pPr>
    </w:p>
    <w:p w14:paraId="220919C5" w14:textId="77777777" w:rsidR="00654269" w:rsidRDefault="00654269" w:rsidP="00F7786C">
      <w:pPr>
        <w:jc w:val="center"/>
      </w:pPr>
    </w:p>
    <w:p w14:paraId="692A4E13" w14:textId="77777777" w:rsidR="00E86AAD" w:rsidRDefault="00E86AAD" w:rsidP="00E86AAD">
      <w:pPr>
        <w:jc w:val="center"/>
      </w:pPr>
      <w:r>
        <w:lastRenderedPageBreak/>
        <w:t>Chapter 10 Questions</w:t>
      </w:r>
    </w:p>
    <w:p w14:paraId="17020E70" w14:textId="77777777" w:rsidR="00E86AAD" w:rsidRDefault="00E86AAD" w:rsidP="00E86AAD">
      <w:pPr>
        <w:jc w:val="center"/>
        <w:rPr>
          <w:b/>
          <w:bCs/>
        </w:rPr>
      </w:pPr>
      <w:r>
        <w:rPr>
          <w:b/>
          <w:bCs/>
        </w:rPr>
        <w:t>Question 1:</w:t>
      </w:r>
    </w:p>
    <w:p w14:paraId="44F0A8DE" w14:textId="77777777" w:rsidR="00E86AAD" w:rsidRDefault="00E86AAD" w:rsidP="00E86AAD">
      <w:pPr>
        <w:ind w:firstLine="720"/>
        <w:jc w:val="both"/>
        <w:rPr>
          <w:rFonts w:eastAsia="Times New Roman"/>
          <w:color w:val="2D3B45"/>
          <w:shd w:val="clear" w:color="auto" w:fill="FFFFFF"/>
        </w:rPr>
      </w:pPr>
      <w:r>
        <w:rPr>
          <w:rFonts w:eastAsia="Times New Roman"/>
          <w:color w:val="2D3B45"/>
          <w:shd w:val="clear" w:color="auto" w:fill="FFFFFF"/>
        </w:rPr>
        <w:t xml:space="preserve">For many individuals, achieving and maintaining healthy body weight is the thin line between living a healthy life and developing chronic diseases. According to the section "How can you lose weight safely and keep it off," there are three main strategies that people can use to lose weight and maintain healthy body weight. These are reducing the intake of energy foods, engaging in regular physical activity, and adopting </w:t>
      </w:r>
      <w:proofErr w:type="spellStart"/>
      <w:r>
        <w:rPr>
          <w:rFonts w:eastAsia="Times New Roman"/>
          <w:color w:val="2D3B45"/>
          <w:shd w:val="clear" w:color="auto" w:fill="FFFFFF"/>
        </w:rPr>
        <w:t>behavior</w:t>
      </w:r>
      <w:proofErr w:type="spellEnd"/>
      <w:r>
        <w:rPr>
          <w:rFonts w:eastAsia="Times New Roman"/>
          <w:color w:val="2D3B45"/>
          <w:shd w:val="clear" w:color="auto" w:fill="FFFFFF"/>
        </w:rPr>
        <w:t xml:space="preserve"> modification techniques. Many diet plans have been developed based on the demand for achieving and maintaining a healthy body weight among the general population. However, it is generally advisable to avoid fad diets. These are diets that have been overly advertised and designed to fit the population's needs while avoiding common fears.</w:t>
      </w:r>
    </w:p>
    <w:p w14:paraId="5F8B1FBE" w14:textId="77777777" w:rsidR="00E86AAD" w:rsidRDefault="00E86AAD" w:rsidP="00E86AAD">
      <w:pPr>
        <w:ind w:firstLine="720"/>
        <w:jc w:val="both"/>
        <w:rPr>
          <w:rFonts w:eastAsia="Times New Roman"/>
          <w:color w:val="2D3B45"/>
          <w:shd w:val="clear" w:color="auto" w:fill="FFFFFF"/>
        </w:rPr>
      </w:pPr>
      <w:r>
        <w:rPr>
          <w:rFonts w:eastAsia="Times New Roman"/>
          <w:color w:val="2D3B45"/>
          <w:shd w:val="clear" w:color="auto" w:fill="FFFFFF"/>
        </w:rPr>
        <w:t>According to the section, a majority of the recommended diet plans focus on restricting the consumption of specific macronutrients or encouraging others' consumption. All these diets have varied results on the overall impact on people's health and weight loss. For instance, research has found that popular diets that focus on reducing carbohydrate intake as a method of weight reduction often achieve short-term goals but are generally ineffective in the long-run. Throughout history, there have been significant debates on the nutritional benefits, if any, of high carbohydrate, moderate fats diets. Though these diets have been effective in weight reduction, several researchers have found no health advantages in these diets. These researchers argue that effective weight loss techniques should reduce overall energy intake, including total calories, fats, and proteins while meeting the recommended physical activity goals.</w:t>
      </w:r>
    </w:p>
    <w:p w14:paraId="774DA6B8" w14:textId="77777777" w:rsidR="00E86AAD" w:rsidRDefault="00E86AAD" w:rsidP="00E86AAD">
      <w:pPr>
        <w:ind w:firstLine="720"/>
        <w:jc w:val="both"/>
        <w:rPr>
          <w:rFonts w:eastAsia="Times New Roman"/>
          <w:color w:val="2D3B45"/>
          <w:shd w:val="clear" w:color="auto" w:fill="FFFFFF"/>
        </w:rPr>
      </w:pPr>
      <w:r>
        <w:rPr>
          <w:rFonts w:eastAsia="Times New Roman"/>
          <w:color w:val="2D3B45"/>
          <w:shd w:val="clear" w:color="auto" w:fill="FFFFFF"/>
        </w:rPr>
        <w:t xml:space="preserve">Where individuals opt to develop their diet plans, they need to keep in mind specific strategies. The first is setting safe, practical, and achievable goals that entail gradual steps towards the goal. The goals need to be precise, reasonable, and measurable. Another strategy </w:t>
      </w:r>
      <w:r>
        <w:rPr>
          <w:rFonts w:eastAsia="Times New Roman"/>
          <w:color w:val="2D3B45"/>
          <w:shd w:val="clear" w:color="auto" w:fill="FFFFFF"/>
        </w:rPr>
        <w:lastRenderedPageBreak/>
        <w:t xml:space="preserve">is focusing on the consumption of small doses of nutritionally dense foods. While the portion sizes may reduce, the nutritional content of the meals should be high to achieve daily dietary goals. The third strategy in engaging in active physical activities. Nutrition alone may not be adequate, but when combined with physical activity, the results are impressive. Finally, </w:t>
      </w:r>
      <w:proofErr w:type="spellStart"/>
      <w:r>
        <w:rPr>
          <w:rFonts w:eastAsia="Times New Roman"/>
          <w:color w:val="2D3B45"/>
          <w:shd w:val="clear" w:color="auto" w:fill="FFFFFF"/>
        </w:rPr>
        <w:t>behavioral</w:t>
      </w:r>
      <w:proofErr w:type="spellEnd"/>
      <w:r>
        <w:rPr>
          <w:rFonts w:eastAsia="Times New Roman"/>
          <w:color w:val="2D3B45"/>
          <w:shd w:val="clear" w:color="auto" w:fill="FFFFFF"/>
        </w:rPr>
        <w:t xml:space="preserve"> changes are inevitable. Things like mindful eating go a long way toward helping individuals achieve their weight goals.</w:t>
      </w:r>
    </w:p>
    <w:p w14:paraId="7901D3DB" w14:textId="77777777" w:rsidR="00E86AAD" w:rsidRDefault="00E86AAD" w:rsidP="00E86AAD">
      <w:pPr>
        <w:ind w:firstLine="720"/>
        <w:jc w:val="both"/>
        <w:rPr>
          <w:rFonts w:eastAsia="Times New Roman"/>
          <w:color w:val="2D3B45"/>
          <w:shd w:val="clear" w:color="auto" w:fill="FFFFFF"/>
        </w:rPr>
      </w:pPr>
      <w:r>
        <w:rPr>
          <w:rFonts w:eastAsia="Times New Roman"/>
          <w:color w:val="2D3B45"/>
          <w:shd w:val="clear" w:color="auto" w:fill="FFFFFF"/>
        </w:rPr>
        <w:t>One of the nationally recognized diet plans in America is the Mediterranean diet. The Mediterranean diet is plant-based and encourages the consumption of vegetables, fruits, herbs, nuts, beans, and whole grains in collaboration with moderate consumption of dairy products and limited red meats (</w:t>
      </w:r>
      <w:proofErr w:type="spellStart"/>
      <w:r>
        <w:rPr>
          <w:rFonts w:eastAsia="Times New Roman"/>
          <w:color w:val="2D3B45"/>
        </w:rPr>
        <w:t>Rahimpour</w:t>
      </w:r>
      <w:proofErr w:type="spellEnd"/>
      <w:r>
        <w:rPr>
          <w:rFonts w:eastAsia="Times New Roman"/>
          <w:color w:val="2D3B45"/>
        </w:rPr>
        <w:t xml:space="preserve"> &amp; </w:t>
      </w:r>
      <w:proofErr w:type="spellStart"/>
      <w:r>
        <w:rPr>
          <w:rFonts w:eastAsia="Times New Roman"/>
          <w:color w:val="2D3B45"/>
        </w:rPr>
        <w:t>Shelnutt</w:t>
      </w:r>
      <w:proofErr w:type="spellEnd"/>
      <w:r>
        <w:rPr>
          <w:rFonts w:eastAsia="Times New Roman"/>
          <w:color w:val="2D3B45"/>
        </w:rPr>
        <w:t>, 2018</w:t>
      </w:r>
      <w:r>
        <w:rPr>
          <w:rFonts w:eastAsia="Times New Roman"/>
          <w:color w:val="2D3B45"/>
          <w:shd w:val="clear" w:color="auto" w:fill="FFFFFF"/>
        </w:rPr>
        <w:t>). Based on observations from other countries, the Mediterranean diet was introduced in America in the 1960s. It is one of the highly recommended diets in the country due to its ability to aid in weight reduction while promoting health and increasing protection against chronic diseases like heart problems. Furthermore, the Mediterranean diet incorporates more than just healthy foods. It considers other contributing factors like physical activity, the influence of personal moods and mental health, and the importance of sharing meals with others (</w:t>
      </w:r>
      <w:proofErr w:type="spellStart"/>
      <w:r>
        <w:rPr>
          <w:rFonts w:eastAsia="Times New Roman"/>
          <w:color w:val="2D3B45"/>
        </w:rPr>
        <w:t>Rahimpour</w:t>
      </w:r>
      <w:proofErr w:type="spellEnd"/>
      <w:r>
        <w:rPr>
          <w:rFonts w:eastAsia="Times New Roman"/>
          <w:color w:val="2D3B45"/>
        </w:rPr>
        <w:t xml:space="preserve"> &amp; </w:t>
      </w:r>
      <w:proofErr w:type="spellStart"/>
      <w:r>
        <w:rPr>
          <w:rFonts w:eastAsia="Times New Roman"/>
          <w:color w:val="2D3B45"/>
        </w:rPr>
        <w:t>Shelnutt</w:t>
      </w:r>
      <w:proofErr w:type="spellEnd"/>
      <w:r>
        <w:rPr>
          <w:rFonts w:eastAsia="Times New Roman"/>
          <w:color w:val="2D3B45"/>
        </w:rPr>
        <w:t>, 2018</w:t>
      </w:r>
      <w:r>
        <w:rPr>
          <w:rFonts w:eastAsia="Times New Roman"/>
          <w:color w:val="2D3B45"/>
          <w:shd w:val="clear" w:color="auto" w:fill="FFFFFF"/>
        </w:rPr>
        <w:t>).</w:t>
      </w:r>
    </w:p>
    <w:p w14:paraId="562971DE" w14:textId="77777777" w:rsidR="00E86AAD" w:rsidRDefault="00E86AAD" w:rsidP="00E86AAD">
      <w:pPr>
        <w:ind w:firstLine="720"/>
        <w:jc w:val="both"/>
      </w:pPr>
      <w:r>
        <w:rPr>
          <w:rFonts w:eastAsia="Times New Roman"/>
          <w:color w:val="2D3B45"/>
          <w:shd w:val="clear" w:color="auto" w:fill="FFFFFF"/>
        </w:rPr>
        <w:t>Similar to other diets, the Mediterranean diet is also associated with various pros and cons. On the pros side, the diet plan is praised for its balanced and flavourful foods, its contribution to the overall health of individuals, and its contribution to environmental preservation. On the cons side, the diet plan is associated with high costs of obtaining the organic foods, the difficulty to meet particular nutrient needs, and the dietary restrictions that may prove challenging to maintain (Carroll, 2020). Additionally, with the publicity that the diet plan has in the country, it has also been associated with some negative coverage. For instance, since the diet plan encourages the drinking of red wine, it has been on the receiving end for speculations of encouraging alcoholism (</w:t>
      </w:r>
      <w:proofErr w:type="spellStart"/>
      <w:r>
        <w:rPr>
          <w:rFonts w:eastAsia="Times New Roman"/>
          <w:color w:val="2D3B45"/>
        </w:rPr>
        <w:t>Rahimpour</w:t>
      </w:r>
      <w:proofErr w:type="spellEnd"/>
      <w:r>
        <w:rPr>
          <w:rFonts w:eastAsia="Times New Roman"/>
          <w:color w:val="2D3B45"/>
        </w:rPr>
        <w:t xml:space="preserve"> &amp; </w:t>
      </w:r>
      <w:proofErr w:type="spellStart"/>
      <w:r>
        <w:rPr>
          <w:rFonts w:eastAsia="Times New Roman"/>
          <w:color w:val="2D3B45"/>
        </w:rPr>
        <w:t>Shelnutt</w:t>
      </w:r>
      <w:proofErr w:type="spellEnd"/>
      <w:r>
        <w:rPr>
          <w:rFonts w:eastAsia="Times New Roman"/>
          <w:color w:val="2D3B45"/>
        </w:rPr>
        <w:t>, 2018</w:t>
      </w:r>
      <w:r>
        <w:rPr>
          <w:rFonts w:eastAsia="Times New Roman"/>
          <w:color w:val="2D3B45"/>
          <w:shd w:val="clear" w:color="auto" w:fill="FFFFFF"/>
        </w:rPr>
        <w:t xml:space="preserve">). </w:t>
      </w:r>
    </w:p>
    <w:p w14:paraId="0F022E7D" w14:textId="77777777" w:rsidR="00E86AAD" w:rsidRDefault="00E86AAD" w:rsidP="00E86AAD">
      <w:pPr>
        <w:jc w:val="center"/>
        <w:rPr>
          <w:rFonts w:eastAsia="Times New Roman"/>
          <w:color w:val="2D3B45"/>
        </w:rPr>
      </w:pPr>
      <w:r>
        <w:rPr>
          <w:b/>
          <w:bCs/>
        </w:rPr>
        <w:lastRenderedPageBreak/>
        <w:t>Question 2:</w:t>
      </w:r>
      <w:r>
        <w:rPr>
          <w:rFonts w:eastAsia="Times New Roman"/>
          <w:color w:val="2D3B45"/>
        </w:rPr>
        <w:t xml:space="preserve"> </w:t>
      </w:r>
    </w:p>
    <w:p w14:paraId="61BE26E8" w14:textId="77777777" w:rsidR="00E86AAD" w:rsidRDefault="00E86AAD" w:rsidP="00E86AAD">
      <w:pPr>
        <w:shd w:val="clear" w:color="auto" w:fill="FFFFFF"/>
        <w:spacing w:before="180" w:after="180"/>
        <w:ind w:firstLine="720"/>
        <w:jc w:val="both"/>
        <w:rPr>
          <w:rFonts w:eastAsia="Times New Roman"/>
          <w:color w:val="2D3B45"/>
        </w:rPr>
      </w:pPr>
      <w:r>
        <w:rPr>
          <w:rFonts w:eastAsia="Times New Roman"/>
          <w:color w:val="2D3B45"/>
        </w:rPr>
        <w:t xml:space="preserve">With technological advancements in nutrition, various methods have been developed and are usually used to evaluate individuals' body weight. One such method is by calculating the Body Mass Index (BMI). The BMI is a measure of the ratio of an individual's weight in kilograms to the square of his height in meters (Wells &amp; </w:t>
      </w:r>
      <w:proofErr w:type="spellStart"/>
      <w:r>
        <w:rPr>
          <w:rFonts w:eastAsia="Times New Roman"/>
          <w:color w:val="2D3B45"/>
        </w:rPr>
        <w:t>Fewtrell</w:t>
      </w:r>
      <w:proofErr w:type="spellEnd"/>
      <w:r>
        <w:rPr>
          <w:rFonts w:eastAsia="Times New Roman"/>
          <w:color w:val="2D3B45"/>
        </w:rPr>
        <w:t xml:space="preserve">, 2016). Calculating a person's BMI is crucial since it is used in determining whether the person is underweight, overweight, healthy weight, or obese, ultimately helping in identifying the health risk factors associated with their weight. Despite its importance in evaluating the health risks related to weight, using BMI has its limitations. For instance, BMI does not indicate the composition of fats in the body. It does not reflect the loss of bone mass experienced with aging. It disregards the difference in metabolism between people. Another method is measuring body composition, which determines the amount of adipose tissues and lean tissue is present in the body (Wells &amp; </w:t>
      </w:r>
      <w:proofErr w:type="spellStart"/>
      <w:r>
        <w:rPr>
          <w:rFonts w:eastAsia="Times New Roman"/>
          <w:color w:val="2D3B45"/>
        </w:rPr>
        <w:t>Fewtrell</w:t>
      </w:r>
      <w:proofErr w:type="spellEnd"/>
      <w:r>
        <w:rPr>
          <w:rFonts w:eastAsia="Times New Roman"/>
          <w:color w:val="2D3B45"/>
        </w:rPr>
        <w:t>, 2016). Thirdly, assessing fat distribution can also be used to evaluate healthy body weight. The technique is based on the premise that fat distribution patterns have a direct influence on the risk of developing chronic diseases like diabetes and cardiovascular diseases.</w:t>
      </w:r>
    </w:p>
    <w:p w14:paraId="56E786A5" w14:textId="3237834D" w:rsidR="00E86AAD" w:rsidRDefault="00E86AAD" w:rsidP="00E86AAD">
      <w:pPr>
        <w:shd w:val="clear" w:color="auto" w:fill="FFFFFF"/>
        <w:spacing w:before="180" w:after="180"/>
        <w:ind w:firstLine="720"/>
        <w:jc w:val="both"/>
        <w:rPr>
          <w:rFonts w:eastAsia="Times New Roman"/>
          <w:color w:val="2D3B45"/>
        </w:rPr>
      </w:pPr>
      <w:r>
        <w:rPr>
          <w:rFonts w:eastAsia="Times New Roman"/>
          <w:color w:val="2D3B45"/>
        </w:rPr>
        <w:t>Other than the numerical factors considered when evaluating body weight, other non-numerical factors are also influential. These include genetic factors like the presence of fat mass and obesity (FTO) genes, thrifty gene hypothesis, and setpoint hypothesis, which have considerable influence on the body weight. Other factors include metabolic factors, physiological factors like energy regulating hormones and stomach expansion, and sociocultural factors, such as overeating during occasions and peer pressure to increase or decrease weight (</w:t>
      </w:r>
      <w:proofErr w:type="spellStart"/>
      <w:r>
        <w:rPr>
          <w:rFonts w:eastAsia="Times New Roman"/>
          <w:color w:val="2D3B45"/>
        </w:rPr>
        <w:t>Iwaniec</w:t>
      </w:r>
      <w:proofErr w:type="spellEnd"/>
      <w:r>
        <w:rPr>
          <w:rFonts w:eastAsia="Times New Roman"/>
          <w:color w:val="2D3B45"/>
        </w:rPr>
        <w:t xml:space="preserve"> &amp; Turner, 2016). </w:t>
      </w:r>
    </w:p>
    <w:p w14:paraId="16B4E576" w14:textId="34D39418" w:rsidR="00E86AAD" w:rsidRDefault="00E86AAD" w:rsidP="00E86AAD">
      <w:pPr>
        <w:shd w:val="clear" w:color="auto" w:fill="FFFFFF"/>
        <w:spacing w:before="180" w:after="180"/>
        <w:ind w:firstLine="720"/>
        <w:jc w:val="both"/>
        <w:rPr>
          <w:rFonts w:eastAsia="Times New Roman"/>
          <w:color w:val="2D3B45"/>
        </w:rPr>
      </w:pPr>
    </w:p>
    <w:p w14:paraId="33E52759" w14:textId="77777777" w:rsidR="00E86AAD" w:rsidRDefault="00E86AAD" w:rsidP="00E86AAD">
      <w:pPr>
        <w:shd w:val="clear" w:color="auto" w:fill="FFFFFF"/>
        <w:spacing w:before="180" w:after="180"/>
        <w:ind w:firstLine="720"/>
        <w:jc w:val="both"/>
        <w:rPr>
          <w:rFonts w:eastAsia="Times New Roman"/>
          <w:color w:val="2D3B45"/>
        </w:rPr>
      </w:pPr>
    </w:p>
    <w:p w14:paraId="0B254528" w14:textId="77777777" w:rsidR="00E86AAD" w:rsidRDefault="00E86AAD" w:rsidP="00E86AAD">
      <w:pPr>
        <w:shd w:val="clear" w:color="auto" w:fill="FFFFFF"/>
        <w:spacing w:before="180" w:after="180"/>
        <w:jc w:val="center"/>
        <w:rPr>
          <w:rFonts w:eastAsia="Times New Roman"/>
          <w:color w:val="2D3B45"/>
        </w:rPr>
      </w:pPr>
      <w:r>
        <w:rPr>
          <w:rFonts w:eastAsia="Times New Roman"/>
          <w:color w:val="2D3B45"/>
        </w:rPr>
        <w:lastRenderedPageBreak/>
        <w:t xml:space="preserve">References </w:t>
      </w:r>
    </w:p>
    <w:p w14:paraId="2FDAC182" w14:textId="77777777" w:rsidR="00E86AAD" w:rsidRDefault="00E86AAD" w:rsidP="00E86AAD">
      <w:pPr>
        <w:shd w:val="clear" w:color="auto" w:fill="FFFFFF"/>
        <w:spacing w:before="180" w:after="180"/>
        <w:ind w:left="720" w:hanging="720"/>
        <w:jc w:val="both"/>
        <w:rPr>
          <w:rFonts w:eastAsia="Times New Roman"/>
          <w:color w:val="2D3B45"/>
        </w:rPr>
      </w:pPr>
      <w:r>
        <w:rPr>
          <w:rFonts w:eastAsia="Times New Roman"/>
          <w:color w:val="2D3B45"/>
        </w:rPr>
        <w:t xml:space="preserve">Carroll, C. (2020). Pros and Cons of the Mediterranean Diet. </w:t>
      </w:r>
      <w:r>
        <w:rPr>
          <w:rFonts w:eastAsia="Times New Roman"/>
          <w:i/>
          <w:iCs/>
          <w:color w:val="2D3B45"/>
        </w:rPr>
        <w:t xml:space="preserve">Very Well Fit. </w:t>
      </w:r>
      <w:r>
        <w:rPr>
          <w:rFonts w:eastAsia="Times New Roman"/>
          <w:color w:val="2D3B45"/>
        </w:rPr>
        <w:t xml:space="preserve">Retrieved from </w:t>
      </w:r>
      <w:hyperlink r:id="rId7" w:history="1">
        <w:r>
          <w:rPr>
            <w:rStyle w:val="Hyperlink"/>
            <w:rFonts w:eastAsia="Times New Roman"/>
          </w:rPr>
          <w:t>https://www.verywellfit.com/the-mediterranean-diet-pros-and-cons-4685664</w:t>
        </w:r>
      </w:hyperlink>
      <w:r>
        <w:rPr>
          <w:rFonts w:eastAsia="Times New Roman"/>
          <w:color w:val="2D3B45"/>
        </w:rPr>
        <w:t xml:space="preserve"> </w:t>
      </w:r>
    </w:p>
    <w:p w14:paraId="763E77FB" w14:textId="77777777" w:rsidR="00E86AAD" w:rsidRDefault="00E86AAD" w:rsidP="00E86AAD">
      <w:pPr>
        <w:shd w:val="clear" w:color="auto" w:fill="FFFFFF"/>
        <w:spacing w:before="180" w:after="180"/>
        <w:ind w:left="720" w:hanging="720"/>
        <w:jc w:val="both"/>
        <w:rPr>
          <w:rFonts w:eastAsia="Times New Roman"/>
          <w:color w:val="2D3B45"/>
        </w:rPr>
      </w:pPr>
      <w:proofErr w:type="spellStart"/>
      <w:r>
        <w:rPr>
          <w:rFonts w:eastAsia="Times New Roman"/>
          <w:color w:val="2D3B45"/>
        </w:rPr>
        <w:t>Iwaniec</w:t>
      </w:r>
      <w:proofErr w:type="spellEnd"/>
      <w:r>
        <w:rPr>
          <w:rFonts w:eastAsia="Times New Roman"/>
          <w:color w:val="2D3B45"/>
        </w:rPr>
        <w:t xml:space="preserve">, U. T., &amp; Turner, R. T. (2016). Influence of body weight on bone mass, architecture, and turnover. </w:t>
      </w:r>
      <w:r>
        <w:rPr>
          <w:rFonts w:eastAsia="Times New Roman"/>
          <w:i/>
          <w:iCs/>
          <w:color w:val="2D3B45"/>
        </w:rPr>
        <w:t>Journal of Endocrinology</w:t>
      </w:r>
      <w:r>
        <w:rPr>
          <w:rFonts w:eastAsia="Times New Roman"/>
          <w:color w:val="2D3B45"/>
        </w:rPr>
        <w:t>, </w:t>
      </w:r>
      <w:r>
        <w:rPr>
          <w:rFonts w:eastAsia="Times New Roman"/>
          <w:i/>
          <w:iCs/>
          <w:color w:val="2D3B45"/>
        </w:rPr>
        <w:t>230</w:t>
      </w:r>
      <w:r>
        <w:rPr>
          <w:rFonts w:eastAsia="Times New Roman"/>
          <w:color w:val="2D3B45"/>
        </w:rPr>
        <w:t>(3), R115-R130.</w:t>
      </w:r>
    </w:p>
    <w:p w14:paraId="558DDDA1" w14:textId="77777777" w:rsidR="00E86AAD" w:rsidRDefault="00E86AAD" w:rsidP="00E86AAD">
      <w:pPr>
        <w:shd w:val="clear" w:color="auto" w:fill="FFFFFF"/>
        <w:spacing w:before="180" w:after="180"/>
        <w:ind w:left="720" w:hanging="720"/>
        <w:rPr>
          <w:rFonts w:eastAsia="Times New Roman"/>
          <w:color w:val="2D3B45"/>
        </w:rPr>
      </w:pPr>
      <w:proofErr w:type="spellStart"/>
      <w:r>
        <w:rPr>
          <w:rFonts w:eastAsia="Times New Roman"/>
          <w:color w:val="2D3B45"/>
        </w:rPr>
        <w:t>Rahimpour</w:t>
      </w:r>
      <w:proofErr w:type="spellEnd"/>
      <w:r>
        <w:rPr>
          <w:rFonts w:eastAsia="Times New Roman"/>
          <w:color w:val="2D3B45"/>
        </w:rPr>
        <w:t xml:space="preserve">, S., &amp; </w:t>
      </w:r>
      <w:proofErr w:type="spellStart"/>
      <w:r>
        <w:rPr>
          <w:rFonts w:eastAsia="Times New Roman"/>
          <w:color w:val="2D3B45"/>
        </w:rPr>
        <w:t>Shelnutt</w:t>
      </w:r>
      <w:proofErr w:type="spellEnd"/>
      <w:r>
        <w:rPr>
          <w:rFonts w:eastAsia="Times New Roman"/>
          <w:color w:val="2D3B45"/>
        </w:rPr>
        <w:t>, K. P. (2018). [FY1476] The Mediterranean Eating Pattern. </w:t>
      </w:r>
      <w:r>
        <w:rPr>
          <w:rFonts w:eastAsia="Times New Roman"/>
          <w:i/>
          <w:iCs/>
          <w:color w:val="2D3B45"/>
        </w:rPr>
        <w:t>EDIS</w:t>
      </w:r>
      <w:r>
        <w:rPr>
          <w:rFonts w:eastAsia="Times New Roman"/>
          <w:color w:val="2D3B45"/>
        </w:rPr>
        <w:t>, </w:t>
      </w:r>
      <w:r>
        <w:rPr>
          <w:rFonts w:eastAsia="Times New Roman"/>
          <w:i/>
          <w:iCs/>
          <w:color w:val="2D3B45"/>
        </w:rPr>
        <w:t>2018</w:t>
      </w:r>
      <w:r>
        <w:rPr>
          <w:rFonts w:eastAsia="Times New Roman"/>
          <w:color w:val="2D3B45"/>
        </w:rPr>
        <w:t>(4).</w:t>
      </w:r>
    </w:p>
    <w:p w14:paraId="3E7C56A9" w14:textId="77777777" w:rsidR="00E86AAD" w:rsidRDefault="00E86AAD" w:rsidP="00E86AAD">
      <w:pPr>
        <w:shd w:val="clear" w:color="auto" w:fill="FFFFFF"/>
        <w:spacing w:before="180" w:after="180"/>
        <w:ind w:left="720" w:hanging="720"/>
        <w:jc w:val="both"/>
        <w:rPr>
          <w:rFonts w:eastAsia="Times New Roman"/>
          <w:color w:val="2D3B45"/>
        </w:rPr>
      </w:pPr>
      <w:r>
        <w:rPr>
          <w:rFonts w:eastAsia="Times New Roman"/>
          <w:color w:val="2D3B45"/>
        </w:rPr>
        <w:t xml:space="preserve">Wells, J. C. K., &amp; </w:t>
      </w:r>
      <w:proofErr w:type="spellStart"/>
      <w:r>
        <w:rPr>
          <w:rFonts w:eastAsia="Times New Roman"/>
          <w:color w:val="2D3B45"/>
        </w:rPr>
        <w:t>Fewtrell</w:t>
      </w:r>
      <w:proofErr w:type="spellEnd"/>
      <w:r>
        <w:rPr>
          <w:rFonts w:eastAsia="Times New Roman"/>
          <w:color w:val="2D3B45"/>
        </w:rPr>
        <w:t>, M. S. (2016). Measuring body composition. </w:t>
      </w:r>
      <w:r>
        <w:rPr>
          <w:rFonts w:eastAsia="Times New Roman"/>
          <w:i/>
          <w:iCs/>
          <w:color w:val="2D3B45"/>
        </w:rPr>
        <w:t>Archives of disease in childhood</w:t>
      </w:r>
      <w:r>
        <w:rPr>
          <w:rFonts w:eastAsia="Times New Roman"/>
          <w:color w:val="2D3B45"/>
        </w:rPr>
        <w:t>, </w:t>
      </w:r>
      <w:r>
        <w:rPr>
          <w:rFonts w:eastAsia="Times New Roman"/>
          <w:i/>
          <w:iCs/>
          <w:color w:val="2D3B45"/>
        </w:rPr>
        <w:t>91</w:t>
      </w:r>
      <w:r>
        <w:rPr>
          <w:rFonts w:eastAsia="Times New Roman"/>
          <w:color w:val="2D3B45"/>
        </w:rPr>
        <w:t>(7), 612-617.</w:t>
      </w:r>
    </w:p>
    <w:p w14:paraId="43155DD2" w14:textId="77777777" w:rsidR="00E86AAD" w:rsidRDefault="00E86AAD" w:rsidP="00E86AAD">
      <w:pPr>
        <w:rPr>
          <w:b/>
          <w:bCs/>
        </w:rPr>
      </w:pPr>
    </w:p>
    <w:p w14:paraId="6F6E030E" w14:textId="7EB8E09A" w:rsidR="004E1802" w:rsidRPr="004E1802" w:rsidRDefault="004E1802" w:rsidP="00E86AAD">
      <w:pPr>
        <w:jc w:val="center"/>
      </w:pPr>
    </w:p>
    <w:sectPr w:rsidR="004E1802" w:rsidRPr="004E1802"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05FE8C" w14:textId="77777777" w:rsidR="00536891" w:rsidRDefault="00536891">
      <w:pPr>
        <w:spacing w:after="0" w:line="240" w:lineRule="auto"/>
      </w:pPr>
      <w:r>
        <w:separator/>
      </w:r>
    </w:p>
  </w:endnote>
  <w:endnote w:type="continuationSeparator" w:id="0">
    <w:p w14:paraId="61184045" w14:textId="77777777" w:rsidR="00536891" w:rsidRDefault="0053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00A0A" w14:textId="77777777" w:rsidR="00536891" w:rsidRDefault="00536891">
      <w:pPr>
        <w:spacing w:after="0" w:line="240" w:lineRule="auto"/>
      </w:pPr>
      <w:r>
        <w:separator/>
      </w:r>
    </w:p>
  </w:footnote>
  <w:footnote w:type="continuationSeparator" w:id="0">
    <w:p w14:paraId="0D921740" w14:textId="77777777" w:rsidR="00536891" w:rsidRDefault="00536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34319"/>
      <w:docPartObj>
        <w:docPartGallery w:val="Page Numbers (Top of Page)"/>
        <w:docPartUnique/>
      </w:docPartObj>
    </w:sdtPr>
    <w:sdtEndPr>
      <w:rPr>
        <w:noProof/>
      </w:rPr>
    </w:sdtEndPr>
    <w:sdtContent>
      <w:p w14:paraId="7DBD936D" w14:textId="5B80D58D" w:rsidR="00D93540" w:rsidRDefault="00E86AAD" w:rsidP="00B90E54">
        <w:r>
          <w:t>CHAPTER 10 QUESTIONS</w:t>
        </w:r>
        <w:r>
          <w:t xml:space="preserve">          </w:t>
        </w:r>
        <w:r w:rsidR="004E1802">
          <w:t xml:space="preserve">   </w:t>
        </w:r>
        <w:r w:rsidR="00623607">
          <w:rPr>
            <w:color w:val="222222"/>
            <w:shd w:val="clear" w:color="auto" w:fill="FFFFFF"/>
          </w:rPr>
          <w:tab/>
          <w:t xml:space="preserve">          </w:t>
        </w:r>
        <w:r w:rsidR="002A0081">
          <w:rPr>
            <w:rFonts w:eastAsia="Times New Roman"/>
          </w:rPr>
          <w:tab/>
        </w:r>
        <w:r w:rsidR="002A0081">
          <w:rPr>
            <w:rFonts w:eastAsia="Times New Roman"/>
          </w:rPr>
          <w:tab/>
        </w:r>
        <w:r w:rsidR="00F7786C">
          <w:tab/>
        </w:r>
        <w:r w:rsidR="00B20C0E">
          <w:tab/>
        </w:r>
        <w:r w:rsidR="00B20C0E">
          <w:tab/>
        </w:r>
        <w:r w:rsidR="0007681D">
          <w:tab/>
        </w:r>
        <w:r w:rsidR="00F8525D">
          <w:t xml:space="preserve">           </w:t>
        </w:r>
        <w:r w:rsidR="004F430B">
          <w:tab/>
        </w:r>
        <w:r w:rsidR="00F87139">
          <w:fldChar w:fldCharType="begin"/>
        </w:r>
        <w:r w:rsidR="00532362">
          <w:instrText xml:space="preserve"> PAGE   \* MERGEFORMAT </w:instrText>
        </w:r>
        <w:r w:rsidR="00F87139">
          <w:fldChar w:fldCharType="separate"/>
        </w:r>
        <w:r w:rsidR="00127DFA">
          <w:rPr>
            <w:noProof/>
          </w:rPr>
          <w:t>7</w:t>
        </w:r>
        <w:r w:rsidR="00F87139">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34A4" w14:textId="41D39A62" w:rsidR="00C6396E" w:rsidRPr="00E86AAD" w:rsidRDefault="004F430B" w:rsidP="00E86AAD">
    <w:r>
      <w:t>Running head:</w:t>
    </w:r>
    <w:r w:rsidR="0007681D">
      <w:t xml:space="preserve"> </w:t>
    </w:r>
    <w:r w:rsidR="00E86AAD">
      <w:t>CHAPTER 10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15:restartNumberingAfterBreak="0">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891"/>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86AAD"/>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CD8D9"/>
  <w15:docId w15:val="{00D6EF2F-D192-43F7-B9D5-BA98B29C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styleId="UnresolvedMention">
    <w:name w:val="Unresolved Mention"/>
    <w:basedOn w:val="DefaultParagraphFont"/>
    <w:uiPriority w:val="99"/>
    <w:semiHidden/>
    <w:unhideWhenUsed/>
    <w:rsid w:val="004E1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703676624">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7290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fit.com/the-mediterranean-diet-pros-and-cons-46856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Maina</cp:lastModifiedBy>
  <cp:revision>2</cp:revision>
  <dcterms:created xsi:type="dcterms:W3CDTF">2020-06-28T11:24:00Z</dcterms:created>
  <dcterms:modified xsi:type="dcterms:W3CDTF">2020-06-28T11:24:00Z</dcterms:modified>
</cp:coreProperties>
</file>